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E72" w:rsidRPr="0094622A" w:rsidRDefault="00651E72" w:rsidP="00651E72">
      <w:pPr>
        <w:pStyle w:val="Titre1"/>
        <w:rPr>
          <w:rFonts w:ascii="Trebuchet MS" w:hAnsi="Trebuchet MS"/>
          <w:sz w:val="24"/>
        </w:rPr>
      </w:pPr>
      <w:bookmarkStart w:id="0" w:name="_Toc415562177"/>
      <w:r w:rsidRPr="0094622A">
        <w:rPr>
          <w:rFonts w:ascii="Trebuchet MS" w:hAnsi="Trebuchet MS"/>
          <w:sz w:val="24"/>
        </w:rPr>
        <w:t>Article 6 : Sélection des candidatures et jugement des offres</w:t>
      </w:r>
      <w:bookmarkEnd w:id="0"/>
    </w:p>
    <w:p w:rsidR="00651E72" w:rsidRPr="0094622A" w:rsidRDefault="00651E72" w:rsidP="00651E72">
      <w:pPr>
        <w:pStyle w:val="Normal1"/>
        <w:rPr>
          <w:rFonts w:ascii="Trebuchet MS" w:hAnsi="Trebuchet MS"/>
          <w:sz w:val="20"/>
        </w:rPr>
      </w:pPr>
      <w:r w:rsidRPr="0094622A">
        <w:rPr>
          <w:rFonts w:ascii="Trebuchet MS" w:hAnsi="Trebuchet MS"/>
          <w:sz w:val="20"/>
        </w:rPr>
        <w:t>La sélection des candidatures et le jugement des offres seront effectués dans le respect des principes fondamentaux de la commande publique.</w:t>
      </w:r>
    </w:p>
    <w:p w:rsidR="00651E72" w:rsidRPr="0094622A" w:rsidRDefault="00651E72" w:rsidP="00651E72">
      <w:pPr>
        <w:pStyle w:val="Normal1"/>
        <w:rPr>
          <w:rFonts w:ascii="Trebuchet MS" w:hAnsi="Trebuchet MS"/>
          <w:sz w:val="20"/>
        </w:rPr>
      </w:pPr>
      <w:r w:rsidRPr="0094622A">
        <w:rPr>
          <w:rFonts w:ascii="Trebuchet MS" w:hAnsi="Trebuchet MS"/>
          <w:sz w:val="20"/>
        </w:rPr>
        <w:t>Les critères intervenant pour la sélection des candidatures sont :</w:t>
      </w:r>
    </w:p>
    <w:p w:rsidR="00651E72" w:rsidRPr="0094622A" w:rsidRDefault="00651E72" w:rsidP="00651E72">
      <w:pPr>
        <w:pStyle w:val="Normal1"/>
        <w:jc w:val="center"/>
        <w:rPr>
          <w:rFonts w:ascii="Trebuchet MS" w:hAnsi="Trebuchet MS"/>
          <w:b/>
          <w:sz w:val="20"/>
        </w:rPr>
      </w:pPr>
      <w:r w:rsidRPr="0094622A">
        <w:rPr>
          <w:rFonts w:ascii="Trebuchet MS" w:hAnsi="Trebuchet MS"/>
          <w:b/>
          <w:sz w:val="20"/>
        </w:rPr>
        <w:t>Garanties et capacités techniques et financières</w:t>
      </w:r>
    </w:p>
    <w:p w:rsidR="00651E72" w:rsidRPr="0094622A" w:rsidRDefault="00651E72" w:rsidP="00651E72">
      <w:pPr>
        <w:pStyle w:val="Normal1"/>
        <w:jc w:val="center"/>
        <w:rPr>
          <w:rFonts w:ascii="Trebuchet MS" w:hAnsi="Trebuchet MS"/>
          <w:sz w:val="20"/>
        </w:rPr>
      </w:pPr>
      <w:r w:rsidRPr="0094622A">
        <w:rPr>
          <w:rFonts w:ascii="Trebuchet MS" w:hAnsi="Trebuchet MS"/>
          <w:b/>
          <w:sz w:val="20"/>
        </w:rPr>
        <w:t>Capacités professionnelles </w:t>
      </w:r>
    </w:p>
    <w:p w:rsidR="00651E72" w:rsidRPr="0094622A" w:rsidRDefault="00651E72" w:rsidP="00651E72">
      <w:pPr>
        <w:pStyle w:val="Normal1"/>
        <w:rPr>
          <w:rFonts w:ascii="Trebuchet MS" w:hAnsi="Trebuchet MS"/>
          <w:sz w:val="20"/>
        </w:rPr>
      </w:pPr>
    </w:p>
    <w:p w:rsidR="00651E72" w:rsidRPr="0094622A" w:rsidRDefault="00651E72" w:rsidP="00651E72">
      <w:pPr>
        <w:pStyle w:val="Normal1"/>
        <w:keepNext/>
        <w:keepLines w:val="0"/>
        <w:ind w:firstLine="0"/>
        <w:jc w:val="left"/>
        <w:rPr>
          <w:rFonts w:ascii="Trebuchet MS" w:hAnsi="Trebuchet MS"/>
          <w:sz w:val="20"/>
        </w:rPr>
      </w:pPr>
      <w:r w:rsidRPr="0094622A">
        <w:rPr>
          <w:rFonts w:ascii="Trebuchet MS" w:hAnsi="Trebuchet MS"/>
          <w:sz w:val="20"/>
        </w:rPr>
        <w:t>Les critères retenus pour le jugement des offres sont pondérés de la manière suivante :</w:t>
      </w:r>
    </w:p>
    <w:p w:rsidR="00651E72" w:rsidRPr="0094622A" w:rsidRDefault="00651E72" w:rsidP="00651E72">
      <w:pPr>
        <w:pStyle w:val="Normal1"/>
        <w:rPr>
          <w:rFonts w:ascii="Trebuchet MS" w:hAnsi="Trebuchet MS"/>
          <w:sz w:val="20"/>
        </w:rPr>
      </w:pPr>
    </w:p>
    <w:tbl>
      <w:tblPr>
        <w:tblW w:w="9049" w:type="dxa"/>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CellMar>
          <w:left w:w="70" w:type="dxa"/>
          <w:right w:w="70" w:type="dxa"/>
        </w:tblCellMar>
        <w:tblLook w:val="00BF" w:firstRow="1" w:lastRow="0" w:firstColumn="1" w:lastColumn="0" w:noHBand="0" w:noVBand="0"/>
      </w:tblPr>
      <w:tblGrid>
        <w:gridCol w:w="7303"/>
        <w:gridCol w:w="1746"/>
      </w:tblGrid>
      <w:tr w:rsidR="00651E72" w:rsidRPr="0094622A" w:rsidTr="00F16B0B">
        <w:tblPrEx>
          <w:tblCellMar>
            <w:top w:w="0" w:type="dxa"/>
            <w:bottom w:w="0" w:type="dxa"/>
          </w:tblCellMar>
        </w:tblPrEx>
        <w:trPr>
          <w:cantSplit/>
          <w:tblHeader/>
        </w:trPr>
        <w:tc>
          <w:tcPr>
            <w:tcW w:w="7303" w:type="dxa"/>
            <w:tcBorders>
              <w:top w:val="single" w:sz="6" w:space="0" w:color="000000"/>
              <w:left w:val="single" w:sz="6" w:space="0" w:color="auto"/>
              <w:bottom w:val="single" w:sz="6" w:space="0" w:color="000000"/>
            </w:tcBorders>
            <w:shd w:val="pct30" w:color="FFFF00" w:fill="FFFFFF"/>
          </w:tcPr>
          <w:p w:rsidR="00651E72" w:rsidRPr="0094622A" w:rsidRDefault="00651E72" w:rsidP="00F16B0B">
            <w:pPr>
              <w:pStyle w:val="Normal1"/>
              <w:keepNext/>
              <w:tabs>
                <w:tab w:val="clear" w:pos="284"/>
                <w:tab w:val="clear" w:pos="567"/>
                <w:tab w:val="clear" w:pos="851"/>
              </w:tabs>
              <w:ind w:firstLine="0"/>
              <w:jc w:val="center"/>
              <w:rPr>
                <w:rFonts w:ascii="Trebuchet MS" w:hAnsi="Trebuchet MS"/>
                <w:i/>
                <w:sz w:val="20"/>
              </w:rPr>
            </w:pPr>
            <w:r w:rsidRPr="0094622A">
              <w:rPr>
                <w:rFonts w:ascii="Trebuchet MS" w:hAnsi="Trebuchet MS"/>
                <w:i/>
                <w:sz w:val="20"/>
              </w:rPr>
              <w:t>Critères</w:t>
            </w:r>
          </w:p>
        </w:tc>
        <w:tc>
          <w:tcPr>
            <w:tcW w:w="1746" w:type="dxa"/>
            <w:tcBorders>
              <w:top w:val="single" w:sz="6" w:space="0" w:color="000000"/>
              <w:bottom w:val="single" w:sz="6" w:space="0" w:color="000000"/>
              <w:right w:val="single" w:sz="6" w:space="0" w:color="auto"/>
            </w:tcBorders>
            <w:shd w:val="pct30" w:color="FFFF00" w:fill="FFFFFF"/>
          </w:tcPr>
          <w:p w:rsidR="00651E72" w:rsidRPr="0094622A" w:rsidRDefault="00651E72" w:rsidP="00F16B0B">
            <w:pPr>
              <w:pStyle w:val="Normal1"/>
              <w:keepNext/>
              <w:tabs>
                <w:tab w:val="clear" w:pos="284"/>
                <w:tab w:val="clear" w:pos="567"/>
                <w:tab w:val="clear" w:pos="851"/>
              </w:tabs>
              <w:ind w:firstLine="0"/>
              <w:jc w:val="center"/>
              <w:rPr>
                <w:rFonts w:ascii="Trebuchet MS" w:hAnsi="Trebuchet MS"/>
                <w:i/>
                <w:sz w:val="20"/>
              </w:rPr>
            </w:pPr>
            <w:r w:rsidRPr="0094622A">
              <w:rPr>
                <w:rFonts w:ascii="Trebuchet MS" w:hAnsi="Trebuchet MS"/>
                <w:i/>
                <w:sz w:val="20"/>
              </w:rPr>
              <w:t>Pondération</w:t>
            </w:r>
          </w:p>
        </w:tc>
      </w:tr>
      <w:tr w:rsidR="00651E72" w:rsidRPr="0094622A" w:rsidTr="00F16B0B">
        <w:tblPrEx>
          <w:tblCellMar>
            <w:top w:w="0" w:type="dxa"/>
            <w:bottom w:w="0" w:type="dxa"/>
          </w:tblCellMar>
        </w:tblPrEx>
        <w:trPr>
          <w:cantSplit/>
        </w:trPr>
        <w:tc>
          <w:tcPr>
            <w:tcW w:w="7303" w:type="dxa"/>
            <w:tcBorders>
              <w:top w:val="single" w:sz="6" w:space="0" w:color="000000"/>
              <w:left w:val="single" w:sz="6" w:space="0" w:color="auto"/>
              <w:bottom w:val="dotted" w:sz="4" w:space="0" w:color="auto"/>
            </w:tcBorders>
            <w:shd w:val="clear" w:color="auto" w:fill="auto"/>
          </w:tcPr>
          <w:p w:rsidR="00651E72" w:rsidRPr="0094622A" w:rsidRDefault="00651E72" w:rsidP="00F16B0B">
            <w:pPr>
              <w:pStyle w:val="Normal1"/>
              <w:keepNext/>
              <w:tabs>
                <w:tab w:val="clear" w:pos="284"/>
                <w:tab w:val="clear" w:pos="567"/>
                <w:tab w:val="clear" w:pos="851"/>
              </w:tabs>
              <w:ind w:firstLine="0"/>
              <w:jc w:val="left"/>
              <w:rPr>
                <w:rFonts w:ascii="Trebuchet MS" w:hAnsi="Trebuchet MS"/>
                <w:sz w:val="20"/>
              </w:rPr>
            </w:pPr>
            <w:r w:rsidRPr="0094622A">
              <w:rPr>
                <w:rFonts w:ascii="Trebuchet MS" w:hAnsi="Trebuchet MS"/>
                <w:sz w:val="20"/>
              </w:rPr>
              <w:t>1-Prix des prestations</w:t>
            </w:r>
          </w:p>
        </w:tc>
        <w:tc>
          <w:tcPr>
            <w:tcW w:w="1746" w:type="dxa"/>
            <w:tcBorders>
              <w:top w:val="single" w:sz="6" w:space="0" w:color="000000"/>
              <w:bottom w:val="dotted" w:sz="4" w:space="0" w:color="auto"/>
              <w:right w:val="single" w:sz="6" w:space="0" w:color="auto"/>
            </w:tcBorders>
            <w:shd w:val="clear" w:color="auto" w:fill="auto"/>
          </w:tcPr>
          <w:p w:rsidR="00651E72" w:rsidRPr="0094622A" w:rsidRDefault="00651E72" w:rsidP="00F16B0B">
            <w:pPr>
              <w:pStyle w:val="Normal1"/>
              <w:keepNext/>
              <w:tabs>
                <w:tab w:val="clear" w:pos="284"/>
                <w:tab w:val="clear" w:pos="567"/>
                <w:tab w:val="clear" w:pos="851"/>
              </w:tabs>
              <w:ind w:firstLine="0"/>
              <w:jc w:val="left"/>
              <w:rPr>
                <w:rFonts w:ascii="Trebuchet MS" w:hAnsi="Trebuchet MS"/>
                <w:sz w:val="20"/>
              </w:rPr>
            </w:pPr>
            <w:r w:rsidRPr="0094622A">
              <w:rPr>
                <w:rFonts w:ascii="Trebuchet MS" w:hAnsi="Trebuchet MS"/>
                <w:sz w:val="20"/>
              </w:rPr>
              <w:t>70%</w:t>
            </w:r>
          </w:p>
        </w:tc>
      </w:tr>
      <w:tr w:rsidR="00651E72" w:rsidRPr="0094622A" w:rsidTr="00F16B0B">
        <w:tblPrEx>
          <w:tblCellMar>
            <w:top w:w="0" w:type="dxa"/>
            <w:bottom w:w="0" w:type="dxa"/>
          </w:tblCellMar>
        </w:tblPrEx>
        <w:trPr>
          <w:cantSplit/>
        </w:trPr>
        <w:tc>
          <w:tcPr>
            <w:tcW w:w="7303" w:type="dxa"/>
            <w:tcBorders>
              <w:top w:val="dotted" w:sz="4" w:space="0" w:color="auto"/>
              <w:left w:val="single" w:sz="6" w:space="0" w:color="auto"/>
              <w:bottom w:val="single" w:sz="6" w:space="0" w:color="000000"/>
            </w:tcBorders>
            <w:shd w:val="clear" w:color="auto" w:fill="auto"/>
          </w:tcPr>
          <w:p w:rsidR="00651E72" w:rsidRPr="0094622A" w:rsidRDefault="00651E72" w:rsidP="00F16B0B">
            <w:pPr>
              <w:pStyle w:val="Normal1"/>
              <w:tabs>
                <w:tab w:val="clear" w:pos="284"/>
                <w:tab w:val="clear" w:pos="567"/>
                <w:tab w:val="clear" w:pos="851"/>
              </w:tabs>
              <w:ind w:firstLine="0"/>
              <w:jc w:val="left"/>
              <w:rPr>
                <w:rFonts w:ascii="Trebuchet MS" w:hAnsi="Trebuchet MS"/>
                <w:sz w:val="20"/>
              </w:rPr>
            </w:pPr>
            <w:r w:rsidRPr="0094622A">
              <w:rPr>
                <w:rFonts w:ascii="Trebuchet MS" w:hAnsi="Trebuchet MS"/>
                <w:sz w:val="20"/>
              </w:rPr>
              <w:t>2-Valeur technique</w:t>
            </w:r>
          </w:p>
        </w:tc>
        <w:tc>
          <w:tcPr>
            <w:tcW w:w="1746" w:type="dxa"/>
            <w:tcBorders>
              <w:top w:val="dotted" w:sz="4" w:space="0" w:color="auto"/>
              <w:bottom w:val="single" w:sz="6" w:space="0" w:color="000000"/>
              <w:right w:val="single" w:sz="6" w:space="0" w:color="auto"/>
            </w:tcBorders>
            <w:shd w:val="clear" w:color="auto" w:fill="auto"/>
          </w:tcPr>
          <w:p w:rsidR="00651E72" w:rsidRPr="0094622A" w:rsidRDefault="00651E72" w:rsidP="00F16B0B">
            <w:pPr>
              <w:pStyle w:val="Normal1"/>
              <w:tabs>
                <w:tab w:val="clear" w:pos="284"/>
                <w:tab w:val="clear" w:pos="567"/>
                <w:tab w:val="clear" w:pos="851"/>
              </w:tabs>
              <w:ind w:firstLine="0"/>
              <w:jc w:val="left"/>
              <w:rPr>
                <w:rFonts w:ascii="Trebuchet MS" w:hAnsi="Trebuchet MS"/>
                <w:sz w:val="20"/>
              </w:rPr>
            </w:pPr>
            <w:r w:rsidRPr="0094622A">
              <w:rPr>
                <w:rFonts w:ascii="Trebuchet MS" w:hAnsi="Trebuchet MS"/>
                <w:sz w:val="20"/>
              </w:rPr>
              <w:t>30%</w:t>
            </w:r>
          </w:p>
        </w:tc>
      </w:tr>
    </w:tbl>
    <w:p w:rsidR="00651E72" w:rsidRPr="0094622A" w:rsidRDefault="00651E72" w:rsidP="00651E72">
      <w:pPr>
        <w:pStyle w:val="Normal1"/>
        <w:rPr>
          <w:rFonts w:ascii="Trebuchet MS" w:hAnsi="Trebuchet MS"/>
          <w:sz w:val="20"/>
        </w:rPr>
      </w:pPr>
      <w:r w:rsidRPr="0094622A">
        <w:rPr>
          <w:rFonts w:ascii="Trebuchet MS" w:hAnsi="Trebuchet MS"/>
          <w:sz w:val="20"/>
        </w:rPr>
        <w:t> </w:t>
      </w:r>
    </w:p>
    <w:p w:rsidR="00651E72" w:rsidRPr="0094622A" w:rsidRDefault="00651E72" w:rsidP="00651E72">
      <w:pPr>
        <w:pStyle w:val="Normal1"/>
        <w:rPr>
          <w:rFonts w:ascii="Trebuchet MS" w:hAnsi="Trebuchet MS"/>
          <w:sz w:val="20"/>
        </w:rPr>
      </w:pPr>
      <w:r w:rsidRPr="0094622A">
        <w:rPr>
          <w:rFonts w:ascii="Trebuchet MS" w:hAnsi="Trebuchet MS"/>
          <w:sz w:val="20"/>
        </w:rPr>
        <w:t xml:space="preserve">La méthode utilisée pour le </w:t>
      </w:r>
      <w:r w:rsidRPr="0094622A">
        <w:rPr>
          <w:rFonts w:ascii="Trebuchet MS" w:hAnsi="Trebuchet MS"/>
          <w:b/>
          <w:sz w:val="20"/>
        </w:rPr>
        <w:t>calcul de la note du critère Prix des prestations</w:t>
      </w:r>
      <w:r w:rsidRPr="0094622A">
        <w:rPr>
          <w:rFonts w:ascii="Trebuchet MS" w:hAnsi="Trebuchet MS"/>
          <w:sz w:val="20"/>
        </w:rPr>
        <w:t xml:space="preserve"> est la suivante :</w:t>
      </w:r>
    </w:p>
    <w:p w:rsidR="00651E72" w:rsidRPr="0094622A" w:rsidRDefault="00651E72" w:rsidP="00651E72">
      <w:pPr>
        <w:pStyle w:val="Normal1"/>
        <w:rPr>
          <w:rFonts w:ascii="Trebuchet MS" w:hAnsi="Trebuchet MS"/>
          <w:sz w:val="20"/>
        </w:rPr>
      </w:pPr>
    </w:p>
    <w:p w:rsidR="00651E72" w:rsidRPr="0094622A" w:rsidRDefault="00651E72" w:rsidP="00651E72">
      <w:pPr>
        <w:pStyle w:val="Normal1"/>
        <w:ind w:firstLine="0"/>
        <w:rPr>
          <w:rFonts w:ascii="Trebuchet MS" w:hAnsi="Trebuchet MS"/>
          <w:sz w:val="20"/>
        </w:rPr>
      </w:pPr>
      <w:r w:rsidRPr="0094622A">
        <w:rPr>
          <w:rFonts w:ascii="Trebuchet MS" w:hAnsi="Trebuchet MS"/>
          <w:sz w:val="20"/>
        </w:rPr>
        <w:t>Note de l’offre = (Montant de l’offre moins-</w:t>
      </w:r>
      <w:proofErr w:type="spellStart"/>
      <w:r w:rsidRPr="0094622A">
        <w:rPr>
          <w:rFonts w:ascii="Trebuchet MS" w:hAnsi="Trebuchet MS"/>
          <w:sz w:val="20"/>
        </w:rPr>
        <w:t>disante</w:t>
      </w:r>
      <w:proofErr w:type="spellEnd"/>
      <w:r w:rsidRPr="0094622A">
        <w:rPr>
          <w:rFonts w:ascii="Trebuchet MS" w:hAnsi="Trebuchet MS"/>
          <w:sz w:val="20"/>
        </w:rPr>
        <w:t xml:space="preserve"> / Montant de l’offre à noter) * Base de notation</w:t>
      </w:r>
    </w:p>
    <w:p w:rsidR="00651E72" w:rsidRPr="0094622A" w:rsidRDefault="00651E72" w:rsidP="00651E72">
      <w:pPr>
        <w:pStyle w:val="Normal1"/>
        <w:ind w:firstLine="0"/>
        <w:rPr>
          <w:rFonts w:ascii="Trebuchet MS" w:hAnsi="Trebuchet MS"/>
          <w:sz w:val="20"/>
        </w:rPr>
      </w:pPr>
    </w:p>
    <w:p w:rsidR="00651E72" w:rsidRPr="0094622A" w:rsidRDefault="00651E72" w:rsidP="00651E72">
      <w:pPr>
        <w:pStyle w:val="Normal1"/>
        <w:ind w:firstLine="0"/>
        <w:rPr>
          <w:rFonts w:ascii="Trebuchet MS" w:hAnsi="Trebuchet MS"/>
          <w:sz w:val="20"/>
        </w:rPr>
      </w:pPr>
      <w:r w:rsidRPr="0094622A">
        <w:rPr>
          <w:rFonts w:ascii="Trebuchet MS" w:hAnsi="Trebuchet MS"/>
          <w:sz w:val="20"/>
        </w:rPr>
        <w:t>Montant de l’offre moins-</w:t>
      </w:r>
      <w:proofErr w:type="spellStart"/>
      <w:r w:rsidRPr="0094622A">
        <w:rPr>
          <w:rFonts w:ascii="Trebuchet MS" w:hAnsi="Trebuchet MS"/>
          <w:sz w:val="20"/>
        </w:rPr>
        <w:t>disante</w:t>
      </w:r>
      <w:proofErr w:type="spellEnd"/>
      <w:r w:rsidRPr="0094622A">
        <w:rPr>
          <w:rFonts w:ascii="Trebuchet MS" w:hAnsi="Trebuchet MS"/>
          <w:sz w:val="20"/>
        </w:rPr>
        <w:t xml:space="preserve"> = correspond </w:t>
      </w:r>
      <w:r w:rsidRPr="0094622A">
        <w:rPr>
          <w:rFonts w:ascii="Trebuchet MS" w:hAnsi="Trebuchet MS"/>
          <w:sz w:val="20"/>
        </w:rPr>
        <w:tab/>
        <w:t>au prix de l’offre la moins chère (offres anormalement basses exclues).</w:t>
      </w:r>
    </w:p>
    <w:p w:rsidR="00651E72" w:rsidRPr="0094622A" w:rsidRDefault="00651E72" w:rsidP="00651E72">
      <w:pPr>
        <w:pStyle w:val="Normal1"/>
        <w:ind w:firstLine="0"/>
        <w:rPr>
          <w:rFonts w:ascii="Trebuchet MS" w:hAnsi="Trebuchet MS"/>
          <w:sz w:val="20"/>
        </w:rPr>
      </w:pPr>
      <w:r w:rsidRPr="0094622A">
        <w:rPr>
          <w:rFonts w:ascii="Trebuchet MS" w:hAnsi="Trebuchet MS"/>
          <w:sz w:val="20"/>
        </w:rPr>
        <w:t>Montant de l’offre à noter = correspond au prix de l’offre à évaluer.</w:t>
      </w:r>
    </w:p>
    <w:p w:rsidR="00651E72" w:rsidRPr="0094622A" w:rsidRDefault="00651E72" w:rsidP="00651E72">
      <w:pPr>
        <w:pStyle w:val="Normal1"/>
        <w:ind w:firstLine="0"/>
        <w:rPr>
          <w:rFonts w:ascii="Trebuchet MS" w:hAnsi="Trebuchet MS"/>
          <w:sz w:val="20"/>
        </w:rPr>
      </w:pPr>
      <w:r w:rsidRPr="0094622A">
        <w:rPr>
          <w:rFonts w:ascii="Trebuchet MS" w:hAnsi="Trebuchet MS"/>
          <w:sz w:val="20"/>
        </w:rPr>
        <w:t>Base de notation = correspond à la note maximale pouvant être obtenue. </w:t>
      </w:r>
    </w:p>
    <w:p w:rsidR="00651E72" w:rsidRPr="0094622A" w:rsidRDefault="00651E72" w:rsidP="00651E72">
      <w:pPr>
        <w:pStyle w:val="Normal1"/>
        <w:rPr>
          <w:rFonts w:ascii="Trebuchet MS" w:hAnsi="Trebuchet MS"/>
          <w:sz w:val="20"/>
        </w:rPr>
      </w:pPr>
      <w:r w:rsidRPr="0094622A">
        <w:rPr>
          <w:rFonts w:ascii="Trebuchet MS" w:hAnsi="Trebuchet MS"/>
          <w:sz w:val="20"/>
        </w:rPr>
        <w:t xml:space="preserve"> </w:t>
      </w:r>
    </w:p>
    <w:p w:rsidR="00651E72" w:rsidRPr="0094622A" w:rsidRDefault="00651E72" w:rsidP="00651E72">
      <w:pPr>
        <w:pStyle w:val="Normal1"/>
        <w:rPr>
          <w:rFonts w:ascii="Trebuchet MS" w:hAnsi="Trebuchet MS"/>
          <w:sz w:val="20"/>
        </w:rPr>
      </w:pPr>
      <w:r w:rsidRPr="0094622A">
        <w:rPr>
          <w:rFonts w:ascii="Trebuchet MS" w:hAnsi="Trebuchet MS"/>
          <w:sz w:val="20"/>
        </w:rPr>
        <w:t xml:space="preserve">Les méthodes utilisées pour le </w:t>
      </w:r>
      <w:r w:rsidRPr="0094622A">
        <w:rPr>
          <w:rFonts w:ascii="Trebuchet MS" w:hAnsi="Trebuchet MS"/>
          <w:b/>
          <w:sz w:val="20"/>
        </w:rPr>
        <w:t>calcul des notes des autres critères</w:t>
      </w:r>
      <w:r w:rsidRPr="0094622A">
        <w:rPr>
          <w:rFonts w:ascii="Trebuchet MS" w:hAnsi="Trebuchet MS"/>
          <w:sz w:val="20"/>
        </w:rPr>
        <w:t xml:space="preserve"> sont les suivantes :</w:t>
      </w:r>
    </w:p>
    <w:p w:rsidR="00651E72" w:rsidRPr="0094622A" w:rsidRDefault="00651E72" w:rsidP="00651E72">
      <w:pPr>
        <w:pStyle w:val="Normal1"/>
        <w:rPr>
          <w:rFonts w:ascii="Trebuchet MS" w:hAnsi="Trebuchet MS"/>
          <w:sz w:val="20"/>
        </w:rPr>
      </w:pPr>
    </w:p>
    <w:p w:rsidR="00651E72" w:rsidRPr="0094622A" w:rsidRDefault="00651E72" w:rsidP="00651E72">
      <w:pPr>
        <w:pStyle w:val="Normal1"/>
        <w:ind w:firstLine="0"/>
        <w:rPr>
          <w:rFonts w:ascii="Trebuchet MS" w:hAnsi="Trebuchet MS"/>
          <w:sz w:val="20"/>
        </w:rPr>
      </w:pPr>
      <w:proofErr w:type="gramStart"/>
      <w:r w:rsidRPr="0094622A">
        <w:rPr>
          <w:rFonts w:ascii="Trebuchet MS" w:hAnsi="Trebuchet MS"/>
          <w:sz w:val="20"/>
        </w:rPr>
        <w:t>les</w:t>
      </w:r>
      <w:proofErr w:type="gramEnd"/>
      <w:r w:rsidRPr="0094622A">
        <w:rPr>
          <w:rFonts w:ascii="Trebuchet MS" w:hAnsi="Trebuchet MS"/>
          <w:sz w:val="20"/>
        </w:rPr>
        <w:t xml:space="preserve"> offres seront comparées les unes par rapport aux autres au vu des éléments communiqués par les candidats. </w:t>
      </w:r>
    </w:p>
    <w:p w:rsidR="00651E72" w:rsidRPr="0094622A" w:rsidRDefault="00651E72" w:rsidP="00651E72">
      <w:pPr>
        <w:pStyle w:val="Normal1"/>
        <w:rPr>
          <w:rFonts w:ascii="Trebuchet MS" w:hAnsi="Trebuchet MS"/>
          <w:sz w:val="20"/>
        </w:rPr>
      </w:pPr>
    </w:p>
    <w:p w:rsidR="00651E72" w:rsidRPr="0094622A" w:rsidRDefault="00651E72" w:rsidP="00651E72">
      <w:pPr>
        <w:pStyle w:val="Normal1"/>
        <w:rPr>
          <w:rFonts w:ascii="Trebuchet MS" w:hAnsi="Trebuchet MS"/>
          <w:sz w:val="20"/>
        </w:rPr>
      </w:pPr>
      <w:r w:rsidRPr="0094622A">
        <w:rPr>
          <w:rFonts w:ascii="Trebuchet MS" w:hAnsi="Trebuchet MS"/>
          <w:sz w:val="20"/>
        </w:rPr>
        <w:t>Dans le cas où des erreurs purement matérielles (de multiplication, d’addition ou de report) seraient constatées dans l’offre du candidat, l’entreprise sera invitée à confirmer l’offre rectifiée ; en cas de refus, son offre sera éliminée comme non cohérente.</w:t>
      </w:r>
    </w:p>
    <w:p w:rsidR="00651E72" w:rsidRPr="0094622A" w:rsidRDefault="00651E72" w:rsidP="00651E72">
      <w:pPr>
        <w:pStyle w:val="Normal1"/>
        <w:rPr>
          <w:rFonts w:ascii="Trebuchet MS" w:hAnsi="Trebuchet MS"/>
          <w:sz w:val="20"/>
        </w:rPr>
      </w:pPr>
    </w:p>
    <w:p w:rsidR="00651E72" w:rsidRPr="0094622A" w:rsidRDefault="00651E72" w:rsidP="00651E72">
      <w:pPr>
        <w:pStyle w:val="Normal1"/>
        <w:rPr>
          <w:rFonts w:ascii="Trebuchet MS" w:hAnsi="Trebuchet MS"/>
          <w:sz w:val="20"/>
        </w:rPr>
      </w:pPr>
      <w:r w:rsidRPr="0094622A">
        <w:rPr>
          <w:rFonts w:ascii="Trebuchet MS" w:hAnsi="Trebuchet MS"/>
          <w:sz w:val="20"/>
        </w:rPr>
        <w:t>Le candidat qui utilise la décomposition de prix mise en ligne sur le site Internet de VOSGELIS pour établir son offre est tenu de vérifier l’exactitude des calculs qu’il aura obtenus à partir de ce document. Il est donc entièrement responsable du résultat des opérations effectuées et ne pourra pas élever de réclamation en cas d’inexactitude du chiffrage de sa soumission.</w:t>
      </w:r>
    </w:p>
    <w:p w:rsidR="00651E72" w:rsidRPr="0094622A" w:rsidRDefault="00651E72" w:rsidP="00651E72">
      <w:pPr>
        <w:pStyle w:val="Normal1"/>
        <w:rPr>
          <w:rFonts w:ascii="Trebuchet MS" w:hAnsi="Trebuchet MS"/>
          <w:sz w:val="20"/>
        </w:rPr>
      </w:pPr>
    </w:p>
    <w:p w:rsidR="00651E72" w:rsidRPr="0094622A" w:rsidRDefault="00651E72" w:rsidP="00651E72">
      <w:pPr>
        <w:pStyle w:val="Normal1"/>
        <w:rPr>
          <w:rFonts w:ascii="Trebuchet MS" w:hAnsi="Trebuchet MS"/>
          <w:sz w:val="20"/>
        </w:rPr>
      </w:pPr>
      <w:r w:rsidRPr="0094622A">
        <w:rPr>
          <w:rFonts w:ascii="Trebuchet MS" w:hAnsi="Trebuchet MS"/>
          <w:sz w:val="20"/>
        </w:rPr>
        <w:t>Son attention est également attirée sur la nécessité de vérifier l’échelle des plans mis en ligne sur le site www.vosgelis.fr : en cas d’hésitation, contacter VOSGELIS. Le candidat étant dûment informé, il ne pourra pas élever de réclamation à ce sujet.</w:t>
      </w:r>
    </w:p>
    <w:p w:rsidR="00651E72" w:rsidRPr="0094622A" w:rsidRDefault="00651E72" w:rsidP="00651E72">
      <w:pPr>
        <w:pStyle w:val="Normal1"/>
        <w:rPr>
          <w:rFonts w:ascii="Trebuchet MS" w:hAnsi="Trebuchet MS"/>
          <w:sz w:val="20"/>
        </w:rPr>
      </w:pPr>
    </w:p>
    <w:p w:rsidR="00651E72" w:rsidRPr="00651E72" w:rsidRDefault="00651E72" w:rsidP="00651E72">
      <w:pPr>
        <w:pStyle w:val="Normal1"/>
        <w:rPr>
          <w:rFonts w:ascii="Trebuchet MS" w:hAnsi="Trebuchet MS"/>
          <w:b/>
          <w:sz w:val="20"/>
        </w:rPr>
      </w:pPr>
      <w:r w:rsidRPr="00651E72">
        <w:rPr>
          <w:rFonts w:ascii="Trebuchet MS" w:hAnsi="Trebuchet MS"/>
          <w:b/>
          <w:sz w:val="20"/>
        </w:rPr>
        <w:t xml:space="preserve">L’attention des concurrents est attirée sur le fait que : </w:t>
      </w:r>
    </w:p>
    <w:p w:rsidR="00651E72" w:rsidRPr="0094622A" w:rsidRDefault="00651E72" w:rsidP="00651E72">
      <w:pPr>
        <w:pStyle w:val="Normal1"/>
        <w:rPr>
          <w:rFonts w:ascii="Trebuchet MS" w:hAnsi="Trebuchet MS"/>
          <w:sz w:val="20"/>
        </w:rPr>
      </w:pPr>
    </w:p>
    <w:p w:rsidR="00651E72" w:rsidRPr="0094622A" w:rsidRDefault="00651E72" w:rsidP="00651E72">
      <w:pPr>
        <w:pStyle w:val="Normal1"/>
        <w:spacing w:after="120"/>
        <w:rPr>
          <w:rFonts w:ascii="Trebuchet MS" w:hAnsi="Trebuchet MS"/>
          <w:sz w:val="20"/>
        </w:rPr>
      </w:pPr>
      <w:r w:rsidRPr="0094622A">
        <w:rPr>
          <w:rFonts w:ascii="Trebuchet MS" w:hAnsi="Trebuchet MS"/>
          <w:sz w:val="20"/>
        </w:rPr>
        <w:t>- la présente consultation ne fera l’objet d’aucune négociation</w:t>
      </w:r>
    </w:p>
    <w:p w:rsidR="00651E72" w:rsidRPr="00CB7E6B" w:rsidRDefault="00651E72" w:rsidP="00651E72">
      <w:pPr>
        <w:spacing w:after="120"/>
        <w:ind w:firstLine="142"/>
        <w:jc w:val="both"/>
        <w:rPr>
          <w:rFonts w:ascii="Trebuchet MS" w:hAnsi="Trebuchet MS"/>
          <w:color w:val="FF0000"/>
          <w:sz w:val="20"/>
          <w:highlight w:val="yellow"/>
        </w:rPr>
      </w:pPr>
      <w:r w:rsidRPr="00CB7E6B">
        <w:rPr>
          <w:rFonts w:ascii="Trebuchet MS" w:hAnsi="Trebuchet MS"/>
          <w:color w:val="FF0000"/>
          <w:sz w:val="20"/>
          <w:highlight w:val="yellow"/>
        </w:rPr>
        <w:t xml:space="preserve">  - les éventuelles demandes formulées par VOSGELIS (ex : demande de précisions lors de l’analyse des offres) seront effectuées par VOSGELIS au moyen de courriers électroniques certifiés. </w:t>
      </w:r>
    </w:p>
    <w:p w:rsidR="00651E72" w:rsidRDefault="00651E72" w:rsidP="00651E72">
      <w:pPr>
        <w:spacing w:after="120"/>
        <w:ind w:firstLine="142"/>
        <w:jc w:val="both"/>
        <w:rPr>
          <w:rFonts w:ascii="Trebuchet MS" w:hAnsi="Trebuchet MS"/>
          <w:color w:val="FF0000"/>
          <w:sz w:val="20"/>
          <w:highlight w:val="yellow"/>
        </w:rPr>
      </w:pPr>
      <w:r w:rsidRPr="00CB7E6B">
        <w:rPr>
          <w:rFonts w:ascii="Trebuchet MS" w:hAnsi="Trebuchet MS"/>
          <w:color w:val="FF0000"/>
          <w:sz w:val="20"/>
          <w:highlight w:val="yellow"/>
        </w:rPr>
        <w:t xml:space="preserve">VOSGELIS utilisera également ce dispositif pour notifier les courriers d’admission et de rejet aux opérateurs. </w:t>
      </w:r>
    </w:p>
    <w:p w:rsidR="00651E72" w:rsidRPr="00CB7E6B" w:rsidRDefault="00651E72" w:rsidP="00651E72">
      <w:pPr>
        <w:spacing w:after="120"/>
        <w:ind w:firstLine="142"/>
        <w:jc w:val="both"/>
        <w:rPr>
          <w:rFonts w:ascii="Trebuchet MS" w:hAnsi="Trebuchet MS"/>
          <w:color w:val="FF0000"/>
          <w:sz w:val="20"/>
        </w:rPr>
      </w:pPr>
      <w:r>
        <w:rPr>
          <w:rFonts w:ascii="Trebuchet MS" w:hAnsi="Trebuchet MS"/>
          <w:color w:val="FF0000"/>
          <w:sz w:val="20"/>
          <w:highlight w:val="yellow"/>
        </w:rPr>
        <w:t>Dans tous les cas, les courriers électroniques seront délivrés à l’adresse électronique communiquée par l’opérateur.</w:t>
      </w:r>
      <w:r w:rsidRPr="007D6D95">
        <w:rPr>
          <w:rFonts w:ascii="Trebuchet MS" w:hAnsi="Trebuchet MS"/>
          <w:color w:val="FF0000"/>
          <w:sz w:val="20"/>
          <w:highlight w:val="yellow"/>
        </w:rPr>
        <w:t xml:space="preserve"> </w:t>
      </w:r>
      <w:r w:rsidRPr="00CB7E6B">
        <w:rPr>
          <w:rFonts w:ascii="Trebuchet MS" w:hAnsi="Trebuchet MS"/>
          <w:color w:val="FF0000"/>
          <w:sz w:val="20"/>
          <w:highlight w:val="yellow"/>
        </w:rPr>
        <w:t>En répondant à la présente consultation, le candidat s’engage à consulter les messages</w:t>
      </w:r>
      <w:r>
        <w:rPr>
          <w:rFonts w:ascii="Trebuchet MS" w:hAnsi="Trebuchet MS"/>
          <w:color w:val="FF0000"/>
          <w:sz w:val="20"/>
          <w:highlight w:val="yellow"/>
        </w:rPr>
        <w:t xml:space="preserve"> électroniques</w:t>
      </w:r>
      <w:r w:rsidRPr="00CB7E6B">
        <w:rPr>
          <w:rFonts w:ascii="Trebuchet MS" w:hAnsi="Trebuchet MS"/>
          <w:color w:val="FF0000"/>
          <w:sz w:val="20"/>
          <w:highlight w:val="yellow"/>
        </w:rPr>
        <w:t xml:space="preserve"> </w:t>
      </w:r>
      <w:r>
        <w:rPr>
          <w:rFonts w:ascii="Trebuchet MS" w:hAnsi="Trebuchet MS"/>
          <w:color w:val="FF0000"/>
          <w:sz w:val="20"/>
          <w:highlight w:val="yellow"/>
        </w:rPr>
        <w:t>émis</w:t>
      </w:r>
      <w:r w:rsidRPr="00CB7E6B">
        <w:rPr>
          <w:rFonts w:ascii="Trebuchet MS" w:hAnsi="Trebuchet MS"/>
          <w:color w:val="FF0000"/>
          <w:sz w:val="20"/>
          <w:highlight w:val="yellow"/>
        </w:rPr>
        <w:t xml:space="preserve"> par VOSGELIS. </w:t>
      </w:r>
    </w:p>
    <w:p w:rsidR="00651E72" w:rsidRDefault="00651E72" w:rsidP="00651E72">
      <w:pPr>
        <w:spacing w:after="120"/>
        <w:ind w:firstLine="142"/>
        <w:jc w:val="both"/>
        <w:rPr>
          <w:rFonts w:ascii="Trebuchet MS" w:hAnsi="Trebuchet MS"/>
          <w:color w:val="FF0000"/>
          <w:sz w:val="20"/>
          <w:highlight w:val="yellow"/>
        </w:rPr>
      </w:pPr>
      <w:r>
        <w:rPr>
          <w:rFonts w:ascii="Trebuchet MS" w:hAnsi="Trebuchet MS"/>
          <w:color w:val="FF0000"/>
          <w:sz w:val="20"/>
          <w:highlight w:val="yellow"/>
        </w:rPr>
        <w:t xml:space="preserve">L’envoi de courriers électroniques certifiés par VOSGELIS est gratuit pour les opérateurs. </w:t>
      </w:r>
    </w:p>
    <w:p w:rsidR="00651E72" w:rsidRDefault="00651E72" w:rsidP="00651E72">
      <w:pPr>
        <w:spacing w:after="120"/>
        <w:ind w:firstLine="142"/>
        <w:jc w:val="both"/>
        <w:rPr>
          <w:rFonts w:ascii="Trebuchet MS" w:hAnsi="Trebuchet MS"/>
          <w:color w:val="FF0000"/>
          <w:sz w:val="20"/>
          <w:highlight w:val="yellow"/>
        </w:rPr>
      </w:pPr>
      <w:r>
        <w:rPr>
          <w:rFonts w:ascii="Trebuchet MS" w:hAnsi="Trebuchet MS"/>
          <w:color w:val="FF0000"/>
          <w:sz w:val="20"/>
          <w:highlight w:val="yellow"/>
        </w:rPr>
        <w:t>Les opérateurs qui souhaitent répondre à VOSGELIS par courrier certifié en supportent la charge financière.</w:t>
      </w:r>
    </w:p>
    <w:p w:rsidR="00651E72" w:rsidRDefault="00651E72" w:rsidP="00651E72">
      <w:pPr>
        <w:rPr>
          <w:highlight w:val="yellow"/>
        </w:rPr>
      </w:pPr>
      <w:r>
        <w:rPr>
          <w:highlight w:val="yellow"/>
        </w:rPr>
        <w:br w:type="page"/>
      </w:r>
    </w:p>
    <w:p w:rsidR="00651E72" w:rsidRPr="00651E72" w:rsidRDefault="00651E72" w:rsidP="00651E72">
      <w:pPr>
        <w:keepNext/>
        <w:spacing w:before="240" w:after="120"/>
        <w:ind w:left="284"/>
        <w:outlineLvl w:val="1"/>
        <w:rPr>
          <w:rFonts w:ascii="Trebuchet MS" w:hAnsi="Trebuchet MS"/>
          <w:i/>
          <w:color w:val="FF0000"/>
          <w:u w:val="single"/>
        </w:rPr>
      </w:pPr>
      <w:r w:rsidRPr="00651E72">
        <w:rPr>
          <w:rFonts w:ascii="Trebuchet MS" w:hAnsi="Trebuchet MS"/>
          <w:i/>
          <w:color w:val="FF0000"/>
          <w:highlight w:val="yellow"/>
          <w:u w:val="single"/>
        </w:rPr>
        <w:lastRenderedPageBreak/>
        <w:t>8.4 – Signature du marché et des documents y relatifs</w:t>
      </w:r>
    </w:p>
    <w:p w:rsidR="00651E72" w:rsidRPr="00651E72" w:rsidRDefault="00651E72" w:rsidP="00651E72">
      <w:pPr>
        <w:keepLines/>
        <w:tabs>
          <w:tab w:val="left" w:pos="284"/>
          <w:tab w:val="left" w:pos="567"/>
          <w:tab w:val="left" w:pos="851"/>
        </w:tabs>
        <w:spacing w:after="120"/>
        <w:jc w:val="both"/>
        <w:rPr>
          <w:rFonts w:ascii="Trebuchet MS" w:hAnsi="Trebuchet MS"/>
          <w:color w:val="FF0000"/>
          <w:sz w:val="20"/>
          <w:szCs w:val="22"/>
          <w:highlight w:val="yellow"/>
        </w:rPr>
      </w:pPr>
      <w:r w:rsidRPr="00651E72">
        <w:rPr>
          <w:rFonts w:ascii="Trebuchet MS" w:hAnsi="Trebuchet MS"/>
          <w:color w:val="FF0000"/>
          <w:sz w:val="20"/>
          <w:szCs w:val="22"/>
          <w:highlight w:val="yellow"/>
        </w:rPr>
        <w:t>La participation aux mises en concurrence organisées par VOSGELIS rend obligatoire la signature des documents dans le parapheur électronique, étant précisé que :</w:t>
      </w:r>
    </w:p>
    <w:p w:rsidR="00651E72" w:rsidRPr="00651E72" w:rsidRDefault="00651E72" w:rsidP="00651E72">
      <w:pPr>
        <w:keepLines/>
        <w:tabs>
          <w:tab w:val="left" w:pos="284"/>
          <w:tab w:val="left" w:pos="567"/>
          <w:tab w:val="left" w:pos="851"/>
        </w:tabs>
        <w:spacing w:after="120"/>
        <w:jc w:val="both"/>
        <w:rPr>
          <w:rFonts w:ascii="Trebuchet MS" w:hAnsi="Trebuchet MS"/>
          <w:color w:val="FF0000"/>
          <w:sz w:val="20"/>
          <w:szCs w:val="22"/>
          <w:highlight w:val="yellow"/>
        </w:rPr>
      </w:pPr>
      <w:r w:rsidRPr="00651E72">
        <w:rPr>
          <w:rFonts w:ascii="Trebuchet MS" w:hAnsi="Trebuchet MS"/>
          <w:color w:val="FF0000"/>
          <w:sz w:val="20"/>
          <w:szCs w:val="22"/>
          <w:highlight w:val="yellow"/>
        </w:rPr>
        <w:t xml:space="preserve">- l’opérateur attributaire qui a déposé une soumission électronique dont les fichiers sont revêtus d’une signature électronique valide ne sera pas </w:t>
      </w:r>
      <w:proofErr w:type="gramStart"/>
      <w:r w:rsidRPr="00651E72">
        <w:rPr>
          <w:rFonts w:ascii="Trebuchet MS" w:hAnsi="Trebuchet MS"/>
          <w:color w:val="FF0000"/>
          <w:sz w:val="20"/>
          <w:szCs w:val="22"/>
          <w:highlight w:val="yellow"/>
        </w:rPr>
        <w:t>invité</w:t>
      </w:r>
      <w:proofErr w:type="gramEnd"/>
      <w:r w:rsidRPr="00651E72">
        <w:rPr>
          <w:rFonts w:ascii="Trebuchet MS" w:hAnsi="Trebuchet MS"/>
          <w:color w:val="FF0000"/>
          <w:sz w:val="20"/>
          <w:szCs w:val="22"/>
          <w:highlight w:val="yellow"/>
        </w:rPr>
        <w:t xml:space="preserve"> à signer ces fichiers dans le parapheur électronique : la signature effectuée lors du dépôt est suffisante,</w:t>
      </w:r>
    </w:p>
    <w:p w:rsidR="00651E72" w:rsidRPr="00651E72" w:rsidRDefault="00651E72" w:rsidP="00651E72">
      <w:pPr>
        <w:keepLines/>
        <w:tabs>
          <w:tab w:val="left" w:pos="284"/>
          <w:tab w:val="left" w:pos="567"/>
          <w:tab w:val="left" w:pos="851"/>
        </w:tabs>
        <w:spacing w:after="120"/>
        <w:jc w:val="both"/>
        <w:rPr>
          <w:rFonts w:ascii="Trebuchet MS" w:hAnsi="Trebuchet MS"/>
          <w:color w:val="FF0000"/>
          <w:sz w:val="20"/>
          <w:szCs w:val="22"/>
          <w:highlight w:val="yellow"/>
        </w:rPr>
      </w:pPr>
      <w:r w:rsidRPr="00651E72">
        <w:rPr>
          <w:rFonts w:ascii="Trebuchet MS" w:hAnsi="Trebuchet MS"/>
          <w:color w:val="FF0000"/>
          <w:sz w:val="20"/>
          <w:szCs w:val="22"/>
          <w:highlight w:val="yellow"/>
        </w:rPr>
        <w:t xml:space="preserve">- l’opérateur attributaire d’un marché issu d’une procédure adaptée, qui a déposé une soumission électronique dont les fichiers ne sont pas revêtus d’une signature électronique valide, signera ces fichiers dans le parapheur électronique, après y avoir été invité par VOSGELIS, </w:t>
      </w:r>
    </w:p>
    <w:p w:rsidR="00651E72" w:rsidRPr="00651E72" w:rsidRDefault="00651E72" w:rsidP="00651E72">
      <w:pPr>
        <w:keepLines/>
        <w:tabs>
          <w:tab w:val="left" w:pos="284"/>
          <w:tab w:val="left" w:pos="567"/>
          <w:tab w:val="left" w:pos="851"/>
        </w:tabs>
        <w:jc w:val="both"/>
        <w:rPr>
          <w:rFonts w:ascii="Trebuchet MS" w:hAnsi="Trebuchet MS"/>
          <w:color w:val="FF0000"/>
          <w:sz w:val="20"/>
          <w:szCs w:val="22"/>
          <w:highlight w:val="yellow"/>
        </w:rPr>
      </w:pPr>
      <w:r w:rsidRPr="00651E72">
        <w:rPr>
          <w:rFonts w:ascii="Trebuchet MS" w:hAnsi="Trebuchet MS"/>
          <w:color w:val="FF0000"/>
          <w:sz w:val="20"/>
          <w:szCs w:val="22"/>
          <w:highlight w:val="yellow"/>
        </w:rPr>
        <w:t>- tout attributaire signera dans le parapheur électronique les documents qui ne figuraient pas dans la soumission et qui sont à signer pour la finalisation du marché (ex : mise au point du marché), après y avoir été invité par VOSGELIS.</w:t>
      </w:r>
    </w:p>
    <w:p w:rsidR="00651E72" w:rsidRPr="00651E72" w:rsidRDefault="00651E72" w:rsidP="00651E72">
      <w:pPr>
        <w:keepLines/>
        <w:tabs>
          <w:tab w:val="left" w:pos="284"/>
          <w:tab w:val="left" w:pos="567"/>
          <w:tab w:val="left" w:pos="851"/>
        </w:tabs>
        <w:jc w:val="both"/>
        <w:rPr>
          <w:rFonts w:ascii="Trebuchet MS" w:hAnsi="Trebuchet MS"/>
          <w:color w:val="FF0000"/>
          <w:sz w:val="20"/>
          <w:szCs w:val="22"/>
        </w:rPr>
      </w:pPr>
    </w:p>
    <w:p w:rsidR="00651E72" w:rsidRPr="00651E72" w:rsidRDefault="00651E72" w:rsidP="00651E72">
      <w:pPr>
        <w:keepLines/>
        <w:tabs>
          <w:tab w:val="left" w:pos="284"/>
          <w:tab w:val="left" w:pos="567"/>
          <w:tab w:val="left" w:pos="851"/>
        </w:tabs>
        <w:spacing w:after="120"/>
        <w:jc w:val="both"/>
        <w:rPr>
          <w:rFonts w:ascii="Trebuchet MS" w:hAnsi="Trebuchet MS"/>
          <w:color w:val="FF0000"/>
          <w:sz w:val="20"/>
          <w:szCs w:val="22"/>
          <w:highlight w:val="yellow"/>
        </w:rPr>
      </w:pPr>
      <w:r w:rsidRPr="00651E72">
        <w:rPr>
          <w:rFonts w:ascii="Trebuchet MS" w:hAnsi="Trebuchet MS"/>
          <w:color w:val="FF0000"/>
          <w:sz w:val="20"/>
          <w:szCs w:val="22"/>
          <w:highlight w:val="yellow"/>
        </w:rPr>
        <w:t>L’utilisation de ce dispositif est gratuite et nécessite une connexion internet.</w:t>
      </w:r>
    </w:p>
    <w:p w:rsidR="00651E72" w:rsidRPr="00651E72" w:rsidRDefault="00651E72" w:rsidP="00651E72">
      <w:pPr>
        <w:spacing w:after="120"/>
        <w:jc w:val="both"/>
        <w:rPr>
          <w:rFonts w:ascii="Tahoma" w:hAnsi="Tahoma"/>
          <w:color w:val="FF0000"/>
          <w:sz w:val="20"/>
          <w:highlight w:val="yellow"/>
        </w:rPr>
      </w:pPr>
      <w:r w:rsidRPr="00651E72">
        <w:rPr>
          <w:rFonts w:ascii="Tahoma" w:hAnsi="Tahoma"/>
          <w:color w:val="FF0000"/>
          <w:sz w:val="20"/>
          <w:highlight w:val="yellow"/>
        </w:rPr>
        <w:t>Toute invitation à signer dans le parapheur donnera lieu à délivrance d’un mail, qui sera notifié à l’adresse électronique communiquée par l’opérateur. Ce mail contient l’identifiant, le mot de passe et le lien qui permettront au signataire de se connecter au parapheur. Le signataire utilisera son certificat de signature électronique pour signer les fichiers.</w:t>
      </w:r>
    </w:p>
    <w:p w:rsidR="00651E72" w:rsidRPr="00651E72" w:rsidRDefault="00651E72" w:rsidP="00651E72">
      <w:pPr>
        <w:spacing w:after="120"/>
        <w:jc w:val="both"/>
        <w:rPr>
          <w:rFonts w:ascii="Tahoma" w:hAnsi="Tahoma"/>
          <w:color w:val="FF0000"/>
          <w:sz w:val="20"/>
          <w:highlight w:val="yellow"/>
        </w:rPr>
      </w:pPr>
      <w:r w:rsidRPr="00651E72">
        <w:rPr>
          <w:rFonts w:ascii="Tahoma" w:hAnsi="Tahoma"/>
          <w:color w:val="FF0000"/>
          <w:sz w:val="20"/>
          <w:highlight w:val="yellow"/>
        </w:rPr>
        <w:t>Dans le cas où l’opérateur n’est pas équipé d’un certificat de signature électronique valide, il signera en saisissant le code pin qui aura été délivré sur le numéro de téléphone portable communiqué par l’opérateur à VOSGELIS. Ce code est délivré lors de la première  signature dans le parapheur.</w:t>
      </w:r>
    </w:p>
    <w:p w:rsidR="00651E72" w:rsidRPr="00651E72" w:rsidRDefault="00651E72" w:rsidP="00651E72">
      <w:pPr>
        <w:jc w:val="both"/>
        <w:rPr>
          <w:rFonts w:ascii="Tahoma" w:hAnsi="Tahoma"/>
          <w:color w:val="FF0000"/>
          <w:sz w:val="20"/>
        </w:rPr>
      </w:pPr>
      <w:r w:rsidRPr="00651E72">
        <w:rPr>
          <w:rFonts w:ascii="Tahoma" w:hAnsi="Tahoma"/>
          <w:color w:val="FF0000"/>
          <w:sz w:val="20"/>
          <w:highlight w:val="yellow"/>
        </w:rPr>
        <w:t xml:space="preserve">C’est un code secret, personnel et confidentiel dont le destinataire a la garde. Il reste valable jusqu’à ce que le signataire décide de solliciter un nouveau code par un simple clic sur le parapheur. </w:t>
      </w:r>
    </w:p>
    <w:p w:rsidR="00651E72" w:rsidRPr="00651E72" w:rsidRDefault="00651E72" w:rsidP="00651E72">
      <w:pPr>
        <w:jc w:val="both"/>
        <w:rPr>
          <w:rFonts w:ascii="Tahoma" w:hAnsi="Tahoma"/>
          <w:color w:val="FF0000"/>
          <w:sz w:val="20"/>
        </w:rPr>
      </w:pPr>
    </w:p>
    <w:p w:rsidR="00651E72" w:rsidRPr="00651E72" w:rsidRDefault="00651E72" w:rsidP="00651E72">
      <w:pPr>
        <w:jc w:val="both"/>
        <w:rPr>
          <w:rFonts w:ascii="Tahoma" w:hAnsi="Tahoma"/>
          <w:color w:val="FF0000"/>
          <w:sz w:val="20"/>
        </w:rPr>
      </w:pPr>
      <w:r w:rsidRPr="00651E72">
        <w:rPr>
          <w:rFonts w:ascii="Tahoma" w:hAnsi="Tahoma"/>
          <w:color w:val="FF0000"/>
          <w:sz w:val="20"/>
          <w:highlight w:val="yellow"/>
        </w:rPr>
        <w:t>VOSGELIS pourra inviter l’opérateur, dans les mêmes conditions, à signer dans le parapheur électronique, tout document relatif à l’exécution du marché.</w:t>
      </w:r>
    </w:p>
    <w:p w:rsidR="00651E72" w:rsidRDefault="00651E72" w:rsidP="00651E72">
      <w:pPr>
        <w:spacing w:after="120"/>
        <w:ind w:firstLine="142"/>
        <w:jc w:val="both"/>
        <w:rPr>
          <w:rFonts w:ascii="Trebuchet MS" w:hAnsi="Trebuchet MS"/>
          <w:color w:val="FF0000"/>
          <w:sz w:val="20"/>
          <w:highlight w:val="yellow"/>
        </w:rPr>
      </w:pPr>
      <w:bookmarkStart w:id="1" w:name="_GoBack"/>
      <w:bookmarkEnd w:id="1"/>
    </w:p>
    <w:p w:rsidR="00651E72" w:rsidRDefault="00651E72"/>
    <w:sectPr w:rsidR="00651E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E72"/>
    <w:rsid w:val="00290846"/>
    <w:rsid w:val="00651E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E72"/>
    <w:pPr>
      <w:spacing w:after="0" w:line="240" w:lineRule="auto"/>
    </w:pPr>
    <w:rPr>
      <w:rFonts w:ascii="Times New Roman" w:eastAsia="Times New Roman" w:hAnsi="Times New Roman" w:cs="Times New Roman"/>
      <w:szCs w:val="20"/>
      <w:lang w:eastAsia="fr-FR"/>
    </w:rPr>
  </w:style>
  <w:style w:type="paragraph" w:styleId="Titre1">
    <w:name w:val="heading 1"/>
    <w:basedOn w:val="Normal"/>
    <w:next w:val="Normal"/>
    <w:link w:val="Titre1Car"/>
    <w:qFormat/>
    <w:rsid w:val="00651E72"/>
    <w:pPr>
      <w:keepNext/>
      <w:spacing w:before="240" w:after="60"/>
      <w:outlineLvl w:val="0"/>
    </w:pPr>
    <w:rPr>
      <w:b/>
      <w:kern w:val="28"/>
      <w:sz w:val="26"/>
    </w:rPr>
  </w:style>
  <w:style w:type="paragraph" w:styleId="Titre2">
    <w:name w:val="heading 2"/>
    <w:basedOn w:val="Normal"/>
    <w:next w:val="Normal"/>
    <w:link w:val="Titre2Car"/>
    <w:uiPriority w:val="9"/>
    <w:semiHidden/>
    <w:unhideWhenUsed/>
    <w:qFormat/>
    <w:rsid w:val="00651E7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51E72"/>
    <w:rPr>
      <w:rFonts w:ascii="Times New Roman" w:eastAsia="Times New Roman" w:hAnsi="Times New Roman" w:cs="Times New Roman"/>
      <w:b/>
      <w:kern w:val="28"/>
      <w:sz w:val="26"/>
      <w:szCs w:val="20"/>
      <w:lang w:eastAsia="fr-FR"/>
    </w:rPr>
  </w:style>
  <w:style w:type="paragraph" w:customStyle="1" w:styleId="Normal1">
    <w:name w:val="Normal1"/>
    <w:basedOn w:val="Normal"/>
    <w:rsid w:val="00651E72"/>
    <w:pPr>
      <w:keepLines/>
      <w:tabs>
        <w:tab w:val="left" w:pos="284"/>
        <w:tab w:val="left" w:pos="567"/>
        <w:tab w:val="left" w:pos="851"/>
      </w:tabs>
      <w:ind w:firstLine="284"/>
      <w:jc w:val="both"/>
    </w:pPr>
  </w:style>
  <w:style w:type="character" w:customStyle="1" w:styleId="Titre2Car">
    <w:name w:val="Titre 2 Car"/>
    <w:basedOn w:val="Policepardfaut"/>
    <w:link w:val="Titre2"/>
    <w:uiPriority w:val="9"/>
    <w:semiHidden/>
    <w:rsid w:val="00651E72"/>
    <w:rPr>
      <w:rFonts w:asciiTheme="majorHAnsi" w:eastAsiaTheme="majorEastAsia" w:hAnsiTheme="majorHAnsi" w:cstheme="majorBidi"/>
      <w:b/>
      <w:bCs/>
      <w:color w:val="4F81BD" w:themeColor="accent1"/>
      <w:sz w:val="26"/>
      <w:szCs w:val="2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E72"/>
    <w:pPr>
      <w:spacing w:after="0" w:line="240" w:lineRule="auto"/>
    </w:pPr>
    <w:rPr>
      <w:rFonts w:ascii="Times New Roman" w:eastAsia="Times New Roman" w:hAnsi="Times New Roman" w:cs="Times New Roman"/>
      <w:szCs w:val="20"/>
      <w:lang w:eastAsia="fr-FR"/>
    </w:rPr>
  </w:style>
  <w:style w:type="paragraph" w:styleId="Titre1">
    <w:name w:val="heading 1"/>
    <w:basedOn w:val="Normal"/>
    <w:next w:val="Normal"/>
    <w:link w:val="Titre1Car"/>
    <w:qFormat/>
    <w:rsid w:val="00651E72"/>
    <w:pPr>
      <w:keepNext/>
      <w:spacing w:before="240" w:after="60"/>
      <w:outlineLvl w:val="0"/>
    </w:pPr>
    <w:rPr>
      <w:b/>
      <w:kern w:val="28"/>
      <w:sz w:val="26"/>
    </w:rPr>
  </w:style>
  <w:style w:type="paragraph" w:styleId="Titre2">
    <w:name w:val="heading 2"/>
    <w:basedOn w:val="Normal"/>
    <w:next w:val="Normal"/>
    <w:link w:val="Titre2Car"/>
    <w:uiPriority w:val="9"/>
    <w:semiHidden/>
    <w:unhideWhenUsed/>
    <w:qFormat/>
    <w:rsid w:val="00651E7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51E72"/>
    <w:rPr>
      <w:rFonts w:ascii="Times New Roman" w:eastAsia="Times New Roman" w:hAnsi="Times New Roman" w:cs="Times New Roman"/>
      <w:b/>
      <w:kern w:val="28"/>
      <w:sz w:val="26"/>
      <w:szCs w:val="20"/>
      <w:lang w:eastAsia="fr-FR"/>
    </w:rPr>
  </w:style>
  <w:style w:type="paragraph" w:customStyle="1" w:styleId="Normal1">
    <w:name w:val="Normal1"/>
    <w:basedOn w:val="Normal"/>
    <w:rsid w:val="00651E72"/>
    <w:pPr>
      <w:keepLines/>
      <w:tabs>
        <w:tab w:val="left" w:pos="284"/>
        <w:tab w:val="left" w:pos="567"/>
        <w:tab w:val="left" w:pos="851"/>
      </w:tabs>
      <w:ind w:firstLine="284"/>
      <w:jc w:val="both"/>
    </w:pPr>
  </w:style>
  <w:style w:type="character" w:customStyle="1" w:styleId="Titre2Car">
    <w:name w:val="Titre 2 Car"/>
    <w:basedOn w:val="Policepardfaut"/>
    <w:link w:val="Titre2"/>
    <w:uiPriority w:val="9"/>
    <w:semiHidden/>
    <w:rsid w:val="00651E72"/>
    <w:rPr>
      <w:rFonts w:asciiTheme="majorHAnsi" w:eastAsiaTheme="majorEastAsia" w:hAnsiTheme="majorHAnsi" w:cstheme="majorBidi"/>
      <w:b/>
      <w:bCs/>
      <w:color w:val="4F81BD" w:themeColor="accent1"/>
      <w:sz w:val="26"/>
      <w:szCs w:val="2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BF1201BC</Template>
  <TotalTime>2</TotalTime>
  <Pages>2</Pages>
  <Words>772</Words>
  <Characters>4252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VOSGELIS</Company>
  <LinksUpToDate>false</LinksUpToDate>
  <CharactersWithSpaces>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VOSGELISAdmin</dc:creator>
  <cp:lastModifiedBy>VOSGELISAdmin</cp:lastModifiedBy>
  <cp:revision>1</cp:revision>
  <dcterms:created xsi:type="dcterms:W3CDTF">2015-04-21T08:15:00Z</dcterms:created>
  <dcterms:modified xsi:type="dcterms:W3CDTF">2015-04-21T08:18:00Z</dcterms:modified>
</cp:coreProperties>
</file>